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  <w:jc w:val="center"/>
      </w:pPr>
      <w:r>
        <w:t xml:space="preserve">ДОГОВОР ПУБЛИЧНОЙ ОФЕРТЫ</w:t>
      </w:r>
    </w:p>
    <w:p>
      <w:pPr>
        <w:spacing w:after="300"/>
        <w:jc w:val="center"/>
      </w:pPr>
      <w:r>
        <w:rPr>
          <w:i/>
          <w:iCs/>
          <w:color w:val="444444"/>
          <w:sz w:val="20"/>
          <w:szCs w:val="20"/>
        </w:rPr>
        <w:t xml:space="preserve">на предоставление доступа к программному обеспечению «8Ball POS» (8ballpos.by) · редакция от 29.07.2026 · г. Речица</w:t>
      </w:r>
    </w:p>
    <w:p>
      <w:pPr>
        <w:spacing w:after="140"/>
        <w:jc w:val="both"/>
      </w:pPr>
      <w:r>
        <w:t xml:space="preserve">Общество с ограниченной ответственностью «Дарквуд Софт», УНП 491721530, в лице Директора Лопатина Вячеслава Игоревича, действующего на основании Устава (далее — «Исполнитель»), публикует настоящий Договор публичной оферты (далее — «Оферта», «Договор») в соответствии со статьёй 407 Гражданского кодекса Республики Беларусь (далее — ГК РБ) в адрес любого юридического лица, индивидуального предпринимателя или физического лица (далее — «Заказчик»), желающего использовать программное обеспечение «8Ball POS».</w:t>
      </w:r>
    </w:p>
    <w:p>
      <w:pPr>
        <w:pStyle w:val="Heading2"/>
        <w:spacing w:after="120" w:before="280"/>
      </w:pPr>
      <w:r>
        <w:rPr>
          <w:b/>
          <w:bCs/>
          <w:color w:val="9C7A2E"/>
        </w:rPr>
        <w:t xml:space="preserve">1. Термины и определения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Сервис / ПО «8Ball POS» — программный комплекс для автоматизации работы бильярдных клубов и заведений с ресторанным режимом, включающий десктоп-приложение (терминал администратора/кассира) и облачный веб-бэкофис, доступный через сайт 8ballpos.by.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Сайт — интернет-ресурс, расположенный по адресу https://8ballpos.by.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Заказчик — лицо, совершившее акцепт настоящей Оферты и получающее право использования Сервиса.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Личный кабинет (Бэкофис) — раздел Сайта, доступ к которому предоставляется Заказчику после регистрации для управления настройками Сервиса, тарифом и отчётностью.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Тариф — набор функциональных возможностей и ограничений Сервиса, доступных Заказчику за плату согласно разделу 7 настоящей Оферты и действующему прейскуранту на Сайте.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Учётные записи пользователей — созданные Заказчиком в Сервисе учётные записи сотрудников (администраторов, кассиров) для доступа к терминалу.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Акцепт — полное и безоговорочное принятие Заказчиком условий настоящей Оферты способами, указанными в разделе 2.</w:t>
      </w:r>
    </w:p>
    <w:p>
      <w:pPr>
        <w:pStyle w:val="Heading2"/>
        <w:spacing w:after="120" w:before="280"/>
      </w:pPr>
      <w:r>
        <w:rPr>
          <w:b/>
          <w:bCs/>
          <w:color w:val="9C7A2E"/>
        </w:rPr>
        <w:t xml:space="preserve">2. Общие положения. Порядок акцепта</w:t>
      </w:r>
    </w:p>
    <w:p>
      <w:pPr>
        <w:spacing w:after="140"/>
        <w:jc w:val="both"/>
      </w:pPr>
      <w:r>
        <w:t xml:space="preserve">2.1. Настоящий документ является официальным публичным предложением (публичной офертой) Исполнителя, адресованным неограниченному кругу лиц, заключить договор на изложенных ниже условиях (ст. 407 ГК РБ).</w:t>
      </w:r>
    </w:p>
    <w:p>
      <w:pPr>
        <w:spacing w:after="140"/>
        <w:jc w:val="both"/>
      </w:pPr>
      <w:r>
        <w:t xml:space="preserve">2.2. Акцептом Оферты (полным и безоговорочным согласием со всеми её условиями, ст. 408 ГК РБ) признаётся одно из следующих действий Заказчика: регистрация Личного кабинета на Сайте и создание хотя бы одной учётной записи пользователя; фактическое начало использования Сервиса (в т. ч. в рамках пробного периода по п. 4.2); либо оплата счёта, выставленного Исполнителем. Договор считается заключённым с момента совершения любого из указанных действий и не требует подписания сторонами бумажного экземпляра.</w:t>
      </w:r>
    </w:p>
    <w:p>
      <w:pPr>
        <w:spacing w:after="140"/>
        <w:jc w:val="both"/>
      </w:pPr>
      <w:r>
        <w:t xml:space="preserve">2.3. Заказчик, не согласный с условиями Оферты полностью или в части, не вправе использовать Сервис и обязан воздержаться от акцепта.</w:t>
      </w:r>
    </w:p>
    <w:p>
      <w:pPr>
        <w:spacing w:after="140"/>
        <w:jc w:val="both"/>
      </w:pPr>
      <w:r>
        <w:t xml:space="preserve">2.4. Исполнитель вправе по письменному запросу Заказчика — юридического лица или ИП — предоставить подписанный экземпляр договора в форме двустороннего документа, содержание которого соответствует настоящей Оферте.</w:t>
      </w:r>
    </w:p>
    <w:p>
      <w:pPr>
        <w:pStyle w:val="Heading2"/>
        <w:spacing w:after="120" w:before="280"/>
      </w:pPr>
      <w:r>
        <w:rPr>
          <w:b/>
          <w:bCs/>
          <w:color w:val="9C7A2E"/>
        </w:rPr>
        <w:t xml:space="preserve">3. Предмет Договора</w:t>
      </w:r>
    </w:p>
    <w:p>
      <w:pPr>
        <w:spacing w:after="140"/>
        <w:jc w:val="both"/>
      </w:pPr>
      <w:r>
        <w:t xml:space="preserve">3.1. Исполнитель предоставляет Заказчику простую (неисключительную), неотчуждаемую и непередаваемую третьим лицам лицензию на использование Сервиса в объёме функциональности выбранного Тарифа, а Заказчик обязуется оплачивать пользование Сервисом на условиях раздела 7.</w:t>
      </w:r>
    </w:p>
    <w:p>
      <w:pPr>
        <w:spacing w:after="140"/>
        <w:jc w:val="both"/>
      </w:pPr>
      <w:r>
        <w:t xml:space="preserve">3.2. Перечень функциональных возможностей по каждому Тарифу, число рабочих мест (столов/точек продаж) и иные ограничения указываются в описании Тарифов на Сайте на момент акцепта и могут изменяться Исполнителем в порядке, предусмотренном п. 12.4.</w:t>
      </w:r>
    </w:p>
    <w:p>
      <w:pPr>
        <w:spacing w:after="140"/>
        <w:jc w:val="both"/>
      </w:pPr>
      <w:r>
        <w:t xml:space="preserve">3.3. Сервис предоставляется по модели «программное обеспечение как услуга» (SaaS): десктоп-приложение устанавливается на оборудование Заказчика, часть функциональности (синхронизация данных, отчётность, управление лояльностью) реализована через облачный бэкофис Исполнителя.</w:t>
      </w:r>
    </w:p>
    <w:p>
      <w:pPr>
        <w:spacing w:after="140"/>
        <w:jc w:val="both"/>
      </w:pPr>
      <w:r>
        <w:t xml:space="preserve">3.4. Право использования Сервиса действует в течение оплаченного расчётного периода и автоматически не переходит к третьим лицам, включая аффилированных лиц Заказчика, без отдельного согласия Исполнителя.</w:t>
      </w:r>
    </w:p>
    <w:p>
      <w:pPr>
        <w:pStyle w:val="Heading2"/>
        <w:spacing w:after="120" w:before="280"/>
      </w:pPr>
      <w:r>
        <w:rPr>
          <w:b/>
          <w:bCs/>
          <w:color w:val="9C7A2E"/>
        </w:rPr>
        <w:t xml:space="preserve">4. Порядок начала использования Сервиса</w:t>
      </w:r>
    </w:p>
    <w:p>
      <w:pPr>
        <w:spacing w:after="140"/>
        <w:jc w:val="both"/>
      </w:pPr>
      <w:r>
        <w:t xml:space="preserve">4.1. Для начала использования Сервиса Заказчик регистрирует Личный кабинет, указывая достоверные данные: для юридических лиц и ИП — наименование, УНП, контактные данные; для физических лиц — фамилию, имя, номер телефона.</w:t>
      </w:r>
    </w:p>
    <w:p>
      <w:pPr>
        <w:spacing w:after="140"/>
        <w:jc w:val="both"/>
      </w:pPr>
      <w:r>
        <w:t xml:space="preserve">4.2. Исполнитель вправе предоставить Заказчику бесплатный пробный период использования Сервиса продолжительностью до 1 (одного) календарного месяца с ограниченной или полной функциональностью по своему усмотрению. По истечении пробного периода доступ к Сервису предоставляется только после оплаты выбранного Тарифа.</w:t>
      </w:r>
    </w:p>
    <w:p>
      <w:pPr>
        <w:spacing w:after="140"/>
        <w:jc w:val="both"/>
      </w:pPr>
      <w:r>
        <w:t xml:space="preserve">4.3. Заказчик самостоятельно несёт ответственность за достоверность указанных при регистрации данных и своевременное их обновление.</w:t>
      </w:r>
    </w:p>
    <w:p>
      <w:pPr>
        <w:pStyle w:val="Heading2"/>
        <w:spacing w:after="120" w:before="280"/>
      </w:pPr>
      <w:r>
        <w:rPr>
          <w:b/>
          <w:bCs/>
          <w:color w:val="9C7A2E"/>
        </w:rPr>
        <w:t xml:space="preserve">5. Права и обязанности Исполнителя</w:t>
      </w:r>
    </w:p>
    <w:p>
      <w:pPr>
        <w:spacing w:after="140"/>
        <w:jc w:val="both"/>
      </w:pPr>
      <w:r>
        <w:t xml:space="preserve">5.1. Исполнитель обязуется: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обеспечивать функционирование Сервиса и техническую поддержку Заказчика по контактам, указанным на Сайте, в разумные сроки в рабочее время;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уведомлять Заказчика о плановых технических работах, существенно влияющих на доступность Сервиса, не позднее чем за 24 часа, за исключением аварийных случаев;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обеспечивать конфиденциальность данных Заказчика в соответствии с разделом 9 настоящей Оферты и Политикой обработки и защиты персональных данных.</w:t>
      </w:r>
    </w:p>
    <w:p>
      <w:pPr>
        <w:spacing w:after="140"/>
        <w:jc w:val="both"/>
      </w:pPr>
      <w:r>
        <w:t xml:space="preserve">5.2. Исполнитель вправе: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приостановить или ограничить доступ Заказчика к Сервису при нарушении условий Оферты, включая просрочку оплаты более чем на 5 календарных дней, до устранения нарушения;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изменять состав функциональности Сервиса, включая расширение или прекращение поддержки отдельных возможностей, с уведомлением Заказчика в порядке п. 12.4;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привлекать третьих лиц (субподрядчиков) для оказания услуг хостинга, фискализации, доставки уведомлений и иных технических функций, обеспечивающих работу Сервиса, оставаясь ответственным перед Заказчиком за их действия в объёме, предусмотренном законодательством;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в одностороннем порядке изменять размер платы по Тарифам с уведомлением действующих Заказчиков не менее чем за 10 календарных дней до начала применения новых цен; для уже оплаченного расчётного периода изменение цены не применяется.</w:t>
      </w:r>
    </w:p>
    <w:p>
      <w:pPr>
        <w:pStyle w:val="Heading2"/>
        <w:spacing w:after="120" w:before="280"/>
      </w:pPr>
      <w:r>
        <w:rPr>
          <w:b/>
          <w:bCs/>
          <w:color w:val="9C7A2E"/>
        </w:rPr>
        <w:t xml:space="preserve">6. Права и обязанности Заказчика</w:t>
      </w:r>
    </w:p>
    <w:p>
      <w:pPr>
        <w:spacing w:after="140"/>
        <w:jc w:val="both"/>
      </w:pPr>
      <w:r>
        <w:t xml:space="preserve">6.1. Заказчик обязуется: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своевременно и в полном объёме оплачивать пользование Сервисом на условиях раздела 7;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использовать Сервис в соответствии с его назначением и требованиями настоящей Оферты;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не передавать логины, пароли и PIN-коды доступа к Сервису третьим лицам, не являющимся сотрудниками Заказчика; самостоятельно нести риски, связанные с несанкционированным доступом при нарушении данного условия;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обеспечивать законность внесения в Сервис персональных данных своих сотрудников и клиентов в соответствии с разделом 9 настоящей Оферты;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самостоятельно обеспечивать соблюдение требований законодательства Республики Беларусь о применении кассового оборудования и порядке фискализации расчётов при использовании Сервиса, включая корректность настройки интеграции с кассовым оборудованием.</w:t>
      </w:r>
    </w:p>
    <w:p>
      <w:pPr>
        <w:spacing w:after="140"/>
        <w:jc w:val="both"/>
      </w:pPr>
      <w:r>
        <w:t xml:space="preserve">6.2. Заказчик вправе: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получать доступ к Сервису в объёме оплаченного Тарифа и техническую поддержку Исполнителя;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в любой момент отказаться от использования Сервиса, уведомив Исполнителя способом, указанным в разделе 13;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запрашивать у Исполнителя информацию о статусе оплат, начислений и об использовании персональных данных в порядке, предусмотренном Политикой обработки и защиты персональных данных.</w:t>
      </w:r>
    </w:p>
    <w:p>
      <w:pPr>
        <w:pStyle w:val="Heading2"/>
        <w:spacing w:after="120" w:before="280"/>
      </w:pPr>
      <w:r>
        <w:rPr>
          <w:b/>
          <w:bCs/>
          <w:color w:val="9C7A2E"/>
        </w:rPr>
        <w:t xml:space="preserve">7. Тарифы и порядок оплаты</w:t>
      </w:r>
    </w:p>
    <w:p>
      <w:pPr>
        <w:spacing w:after="140"/>
        <w:jc w:val="both"/>
      </w:pPr>
      <w:r>
        <w:t xml:space="preserve">7.1. Действующие на дату акцепта Оферты Тарифы: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«Старт» — 105 (сто пять) белорусских рублей в месяц;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«Клуб» — 170 (сто семьдесят) белорусских рублей в месяц;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«Ресторан» — 245 (двести сорок пять) белорусских рублей в месяц;</w:t>
      </w:r>
    </w:p>
    <w:p>
      <w:pPr>
        <w:pStyle w:val="ListParagraph"/>
        <w:numPr>
          <w:ilvl w:val="0"/>
          <w:numId w:val="1"/>
        </w:numPr>
        <w:spacing w:after="80"/>
        <w:jc w:val="both"/>
      </w:pPr>
      <w:r>
        <w:t xml:space="preserve">«Full» — 325 (триста двадцать пять) белорусских рублей в месяц.</w:t>
      </w:r>
    </w:p>
    <w:p>
      <w:pPr>
        <w:spacing w:after="140"/>
        <w:jc w:val="both"/>
      </w:pPr>
      <w:r>
        <w:t xml:space="preserve">Актуальный прейскурант, состав функциональности каждого Тарифа и порядок перехода между Тарифами публикуются на Сайте.</w:t>
      </w:r>
    </w:p>
    <w:p>
      <w:pPr>
        <w:spacing w:after="140"/>
        <w:jc w:val="both"/>
      </w:pPr>
      <w:r>
        <w:t xml:space="preserve">7.2. Оплата производится ежемесячно на условиях 100% предоплаты за расчётный период (календарный месяц), если иной порядок не согласован сторонами дополнительно, путём безналичного перечисления на расчётный счёт Исполнителя либо иным способом, указанным на Сайте или в выставленном счёте (в т. ч. онлайн-оплата банковской картой при подключении соответствующего сервиса).</w:t>
      </w:r>
    </w:p>
    <w:p>
      <w:pPr>
        <w:spacing w:after="140"/>
        <w:jc w:val="both"/>
      </w:pPr>
      <w:r>
        <w:t xml:space="preserve">7.3. Обязательство Заказчика по оплате считается исполненным с момента поступления денежных средств на расчётный счёт Исполнителя.</w:t>
      </w:r>
    </w:p>
    <w:p>
      <w:pPr>
        <w:spacing w:after="140"/>
        <w:jc w:val="both"/>
      </w:pPr>
      <w:r>
        <w:t xml:space="preserve">7.4. Цены на Тарифы указаны в белорусских рублях. Информация о применении налога на добавленную стоимость (НДС) отражается Исполнителем в выставляемом счёте либо ином расчётном документе в соответствии с применяемой Исполнителем системой налогообложения.</w:t>
      </w:r>
    </w:p>
    <w:p>
      <w:pPr>
        <w:spacing w:after="140"/>
        <w:jc w:val="both"/>
      </w:pPr>
      <w:r>
        <w:t xml:space="preserve">7.5. При отсутствии оплаты за очередной расчётный период доступ к Сервису приостанавливается по истечении 5 календарных дней с даты окончания оплаченного периода. Данные Заказчика сохраняются Исполнителем в течение 30 календарных дней с момента приостановки для возможности возобновления доступа при последующей оплате; по истечении указанного срока Исполнитель вправе удалить данные Заказчика без возможности восстановления.</w:t>
      </w:r>
    </w:p>
    <w:p>
      <w:pPr>
        <w:spacing w:after="140"/>
        <w:jc w:val="both"/>
      </w:pPr>
      <w:r>
        <w:t xml:space="preserve">7.6. При отказе Заказчика от Сервиса до начала фактического использования оплаченного периода уплаченные денежные средства возвращаются в течение 5 рабочих дней за вычетом фактически понесённых Исполнителем расходов, связанных с исполнением договора. Плата за фактически истекшую часть оплаченного периода использования Сервиса возврату не подлежит.</w:t>
      </w:r>
    </w:p>
    <w:p>
      <w:pPr>
        <w:spacing w:after="140"/>
        <w:jc w:val="both"/>
      </w:pPr>
      <w:r>
        <w:t xml:space="preserve">7.7. Исполнитель вправе проводить акции: устанавливать скидки к стоимости Тарифов, указанной в п. 7.1, а также предоставлять первый расчётный период использования Сервиса бесплатно. Размер скидки, состав Тарифов, на которые она распространяется, и срок действия акции публикуются на Сайте. Акционная стоимость применяется к расчётным периодам, оплаченным в течение срока действия акции; по окончании акции оплата производится по стоимости, указанной в актуальном прейскуранте на Сайте.</w:t>
      </w:r>
    </w:p>
    <w:p>
      <w:pPr>
        <w:pStyle w:val="Heading2"/>
        <w:spacing w:after="120" w:before="280"/>
      </w:pPr>
      <w:r>
        <w:rPr>
          <w:b/>
          <w:bCs/>
          <w:color w:val="9C7A2E"/>
        </w:rPr>
        <w:t xml:space="preserve">8. Интеллектуальная собственность</w:t>
      </w:r>
    </w:p>
    <w:p>
      <w:pPr>
        <w:spacing w:after="140"/>
        <w:jc w:val="both"/>
      </w:pPr>
      <w:r>
        <w:t xml:space="preserve">8.1. Исключительные права на Сервис (программный код, дизайн интерфейсов, товарные знаки и обозначения «8Ball POS», базы данных, документацию) принадлежат Исполнителю либо используются им на законных основаниях.</w:t>
      </w:r>
    </w:p>
    <w:p>
      <w:pPr>
        <w:spacing w:after="140"/>
        <w:jc w:val="both"/>
      </w:pPr>
      <w:r>
        <w:t xml:space="preserve">8.2. Настоящая Оферта не влечёт перехода к Заказчику каких-либо исключительных прав на Сервис. Заказчику предоставляется исключительно право использования Сервиса по его функциональному назначению в объёме, предусмотренном разделом 3.</w:t>
      </w:r>
    </w:p>
    <w:p>
      <w:pPr>
        <w:spacing w:after="140"/>
        <w:jc w:val="both"/>
      </w:pPr>
      <w:r>
        <w:t xml:space="preserve">8.3. Заказчику запрещается: воспроизводить, копировать, декомпилировать, дизассемблировать Сервис или его части; создавать производные продукты на основе Сервиса; передавать право использования Сервиса третьим лицам (сублицензирование) без письменного согласия Исполнителя.</w:t>
      </w:r>
    </w:p>
    <w:p>
      <w:pPr>
        <w:spacing w:after="140"/>
        <w:jc w:val="both"/>
      </w:pPr>
      <w:r>
        <w:t xml:space="preserve">8.4. Данные, вносимые Заказчиком в Сервис в процессе его использования (сведения о клиентах, продажах, тарифах клуба, товарные каталоги), принадлежат Заказчику. Исполнитель обрабатывает такие данные исключительно в целях обеспечения функционирования Сервиса и в соответствии с разделом 9.</w:t>
      </w:r>
    </w:p>
    <w:p>
      <w:pPr>
        <w:pStyle w:val="Heading2"/>
        <w:spacing w:after="120" w:before="280"/>
      </w:pPr>
      <w:r>
        <w:rPr>
          <w:b/>
          <w:bCs/>
          <w:color w:val="9C7A2E"/>
        </w:rPr>
        <w:t xml:space="preserve">9. Персональные данные и конфиденциальность</w:t>
      </w:r>
    </w:p>
    <w:p>
      <w:pPr>
        <w:spacing w:after="140"/>
        <w:jc w:val="both"/>
      </w:pPr>
      <w:r>
        <w:t xml:space="preserve">9.1. Обработка персональных данных при использовании Сайта и Сервиса осуществляется Исполнителем в соответствии с Законом Республики Беларусь от 07.05.2021 № 99-З «О защите персональных данных» и отдельным документом «Политика обработки и защиты персональных данных», размещённым на Сайте (https://8ballpos.by/policy.html) и являющимся неотъемлемой частью настоящей Оферты.</w:t>
      </w:r>
    </w:p>
    <w:p>
      <w:pPr>
        <w:spacing w:after="140"/>
        <w:jc w:val="both"/>
      </w:pPr>
      <w:r>
        <w:t xml:space="preserve">9.2. В части персональных данных, которые Заказчик самостоятельно вносит в Сервис в качестве сведений о своих сотрудниках и клиентах (участниках программы лояльности), Заказчик выступает оператором таких персональных данных, а Исполнитель — уполномоченным лицом, осуществляющим их обработку исключительно по поручению Заказчика и в объёме, необходимом для функционирования Сервиса, на условиях раздела «Обработка в качестве уполномоченного лица» Политики обработки и защиты персональных данных.</w:t>
      </w:r>
    </w:p>
    <w:p>
      <w:pPr>
        <w:spacing w:after="140"/>
        <w:jc w:val="both"/>
      </w:pPr>
      <w:r>
        <w:t xml:space="preserve">9.3. Заказчик гарантирует, что обладает законными основаниями (включая согласия субъектов персональных данных, если это требуется законодательством) для внесения соответствующих персональных данных в Сервис и их передачи Исполнителю для обработки в целях, указанных в п. 9.2, и несёт самостоятельную ответственность за нарушение данной гарантии.</w:t>
      </w:r>
    </w:p>
    <w:p>
      <w:pPr>
        <w:spacing w:after="140"/>
        <w:jc w:val="both"/>
      </w:pPr>
      <w:r>
        <w:t xml:space="preserve">9.4. Стороны обязуются не разглашать конфиденциальную информацию друг друга (включая условия настоящего Договора, коммерческие и технические сведения), ставшую известной в ходе исполнения Оферты, третьим лицам без согласия другой стороны, за исключением случаев, предусмотренных законодательством Республики Беларусь.</w:t>
      </w:r>
    </w:p>
    <w:p>
      <w:pPr>
        <w:spacing w:after="140"/>
        <w:jc w:val="both"/>
      </w:pPr>
      <w:r>
        <w:t xml:space="preserve">9.5. Инфраструктура Сервиса может размещаться на серверах, находящихся за пределами Республики Беларусь. Условия и правовые основания трансграничной передачи персональных данных изложены в Политике обработки и защиты персональных данных.</w:t>
      </w:r>
    </w:p>
    <w:p>
      <w:pPr>
        <w:pStyle w:val="Heading2"/>
        <w:spacing w:after="120" w:before="280"/>
      </w:pPr>
      <w:r>
        <w:rPr>
          <w:b/>
          <w:bCs/>
          <w:color w:val="9C7A2E"/>
        </w:rPr>
        <w:t xml:space="preserve">10. Ответственность сторон</w:t>
      </w:r>
    </w:p>
    <w:p>
      <w:pPr>
        <w:spacing w:after="140"/>
        <w:jc w:val="both"/>
      </w:pPr>
      <w:r>
        <w:t xml:space="preserve">10.1. Сервис предоставляется по принципу «как есть» (as is). Исполнитель не гарантирует бесперебойную и безошибочную работу Сервиса, полное соответствие Сервиса ожиданиям Заказчика, а также совместимость со всем оборудованием и программным обеспечением, используемым Заказчиком.</w:t>
      </w:r>
    </w:p>
    <w:p>
      <w:pPr>
        <w:spacing w:after="140"/>
        <w:jc w:val="both"/>
      </w:pPr>
      <w:r>
        <w:t xml:space="preserve">10.2. Исполнитель не несёт ответственности за неисполнение или ненадлежащее исполнение обязательств, вызванное действиями (бездействием) третьих лиц: интернет-провайдеров, поставщиков электроэнергии, операторов платёжных систем и фискализации, а также за убытки, возникшие вследствие использования Заказчиком нелицензионного или неисправного оборудования.</w:t>
      </w:r>
    </w:p>
    <w:p>
      <w:pPr>
        <w:spacing w:after="140"/>
        <w:jc w:val="both"/>
      </w:pPr>
      <w:r>
        <w:t xml:space="preserve">10.3. Исполнитель не возмещает Заказчику упущенную выгоду и косвенные убытки. Совокупная ответственность Исполнителя по настоящему Договору за любые нарушения ограничивается суммой, фактически уплаченной Заказчиком за последний оплаченный расчётный период (1 месяц), предшествующий возникновению основания для ответственности.</w:t>
      </w:r>
    </w:p>
    <w:p>
      <w:pPr>
        <w:spacing w:after="140"/>
        <w:jc w:val="both"/>
      </w:pPr>
      <w:r>
        <w:t xml:space="preserve">10.4. Заказчик несёт полную ответственность за содержание и достоверность данных, вносимых в Сервис, за соблюдение законодательства Республики Беларусь при осуществлении своей хозяйственной деятельности с использованием Сервиса, включая налоговое законодательство и законодательство о защите прав потребителей.</w:t>
      </w:r>
    </w:p>
    <w:p>
      <w:pPr>
        <w:spacing w:after="140"/>
        <w:jc w:val="both"/>
      </w:pPr>
      <w:r>
        <w:t xml:space="preserve">10.5. Стороны освобождаются от ответственности за частичное или полное неисполнение обязательств по Договору, если оно явилось следствием обстоятельств непреодолимой силы (форс-мажор), возникших после заключения Договора и которые стороны не могли предвидеть или предотвратить разумными мерами, в соответствии со ст. 372 ГК РБ.</w:t>
      </w:r>
    </w:p>
    <w:p>
      <w:pPr>
        <w:pStyle w:val="Heading2"/>
        <w:spacing w:after="120" w:before="280"/>
      </w:pPr>
      <w:r>
        <w:rPr>
          <w:b/>
          <w:bCs/>
          <w:color w:val="9C7A2E"/>
        </w:rPr>
        <w:t xml:space="preserve">11. Срок действия, изменение и расторжение Договора</w:t>
      </w:r>
    </w:p>
    <w:p>
      <w:pPr>
        <w:spacing w:after="140"/>
        <w:jc w:val="both"/>
      </w:pPr>
      <w:r>
        <w:t xml:space="preserve">11.1. Договор вступает в силу с момента акцепта Оферты и действует до момента прекращения использования Заказчиком Сервиса либо расторжения Договора в порядке настоящего раздела.</w:t>
      </w:r>
    </w:p>
    <w:p>
      <w:pPr>
        <w:spacing w:after="140"/>
        <w:jc w:val="both"/>
      </w:pPr>
      <w:r>
        <w:t xml:space="preserve">11.2. Заказчик вправе в любой момент в одностороннем порядке отказаться от исполнения Договора, уведомив Исполнителя по контактам, указанным в разделе 13, либо прекратив оплату очередного расчётного периода. Ранее оплаченные суммы за истекшую часть периода использования Сервиса возврату не подлежат, за исключением случаев, прямо предусмотренных законодательством Республики Беларусь.</w:t>
      </w:r>
    </w:p>
    <w:p>
      <w:pPr>
        <w:spacing w:after="140"/>
        <w:jc w:val="both"/>
      </w:pPr>
      <w:r>
        <w:t xml:space="preserve">11.3. Исполнитель вправе отказаться от исполнения Договора в одностороннем порядке в случае существенного нарушения Заказчиком условий настоящей Оферты, уведомив Заказчика не менее чем за 3 календарных дня, за исключением случаев грубого нарушения (попытки несанкционированного доступа, использования Сервиса в противоправных целях), когда доступ может быть приостановлен незамедлительно.</w:t>
      </w:r>
    </w:p>
    <w:p>
      <w:pPr>
        <w:spacing w:after="140"/>
        <w:jc w:val="both"/>
      </w:pPr>
      <w:r>
        <w:t xml:space="preserve">11.4. Исполнитель вправе в одностороннем порядке изменять условия настоящей Оферты путём публикации новой редакции на Сайте. Новая редакция вступает в силу с момента публикации, если иной срок не указан в тексте новой редакции. Продолжение использования Сервиса Заказчиком после вступления в силу изменений считается согласием с новой редакцией Оферты. Действующая редакция Оферты доступна по адресу https://8ballpos.by/oferta.html.</w:t>
      </w:r>
    </w:p>
    <w:p>
      <w:pPr>
        <w:pStyle w:val="Heading2"/>
        <w:spacing w:after="120" w:before="280"/>
      </w:pPr>
      <w:r>
        <w:rPr>
          <w:b/>
          <w:bCs/>
          <w:color w:val="9C7A2E"/>
        </w:rPr>
        <w:t xml:space="preserve">12. Порядок разрешения споров</w:t>
      </w:r>
    </w:p>
    <w:p>
      <w:pPr>
        <w:spacing w:after="140"/>
        <w:jc w:val="both"/>
      </w:pPr>
      <w:r>
        <w:t xml:space="preserve">12.1. Споры и разногласия, возникающие в связи с исполнением настоящего Договора, стороны стремятся разрешить путём переговоров с соблюдением обязательного претензионного порядка.</w:t>
      </w:r>
    </w:p>
    <w:p>
      <w:pPr>
        <w:spacing w:after="140"/>
        <w:jc w:val="both"/>
      </w:pPr>
      <w:r>
        <w:t xml:space="preserve">12.2. Претензия направляется в письменной форме, в т. ч. по электронной почте, указанной в разделе 14, и подлежит рассмотрению в срок не позднее 10 (десяти) рабочих дней с момента получения.</w:t>
      </w:r>
    </w:p>
    <w:p>
      <w:pPr>
        <w:spacing w:after="140"/>
        <w:jc w:val="both"/>
      </w:pPr>
      <w:r>
        <w:t xml:space="preserve">12.3. При недостижении согласия спор подлежит разрешению в судебном порядке по месту нахождения Исполнителя в соответствии с законодательством Республики Беларусь.</w:t>
      </w:r>
    </w:p>
    <w:p>
      <w:pPr>
        <w:pStyle w:val="Heading2"/>
        <w:spacing w:after="120" w:before="280"/>
      </w:pPr>
      <w:r>
        <w:rPr>
          <w:b/>
          <w:bCs/>
          <w:color w:val="9C7A2E"/>
        </w:rPr>
        <w:t xml:space="preserve">13. Прочие условия</w:t>
      </w:r>
    </w:p>
    <w:p>
      <w:pPr>
        <w:spacing w:after="140"/>
        <w:jc w:val="both"/>
      </w:pPr>
      <w:r>
        <w:t xml:space="preserve">13.1. Настоящий Договор регулируется и толкуется в соответствии с законодательством Республики Беларусь.</w:t>
      </w:r>
    </w:p>
    <w:p>
      <w:pPr>
        <w:spacing w:after="140"/>
        <w:jc w:val="both"/>
      </w:pPr>
      <w:r>
        <w:t xml:space="preserve">13.2. Если Заказчиком является физическое лицо, использующее Сервис для личных, семейных, бытовых нужд, не связанных с предпринимательской деятельностью, к отношениям сторон в части, не урегулированной настоящей Офертой, применяются нормы Закона Республики Беларусь от 09.01.2002 № 90-З «О защите прав потребителей».</w:t>
      </w:r>
    </w:p>
    <w:p>
      <w:pPr>
        <w:spacing w:after="140"/>
        <w:jc w:val="both"/>
      </w:pPr>
      <w:r>
        <w:t xml:space="preserve">13.3. Признание недействительным одного из условий Оферты не влечёт недействительности остальных её условий.</w:t>
      </w:r>
    </w:p>
    <w:p>
      <w:pPr>
        <w:spacing w:after="140"/>
        <w:jc w:val="both"/>
      </w:pPr>
      <w:r>
        <w:t xml:space="preserve">13.4. Во всём, что не урегулировано настоящей Офертой, стороны руководствуются законодательством Республики Беларусь.</w:t>
      </w:r>
    </w:p>
    <w:p>
      <w:pPr>
        <w:pStyle w:val="Heading2"/>
        <w:spacing w:after="120" w:before="280"/>
      </w:pPr>
      <w:r>
        <w:rPr>
          <w:b/>
          <w:bCs/>
          <w:color w:val="9C7A2E"/>
        </w:rPr>
        <w:t xml:space="preserve">14. Реквизиты Исполнителя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000"/>
      </w:tblGrid>
      <w:tr>
        <w:tc>
          <w:tcPr>
            <w:tcW w:type="pct" w:w="30%"/>
          </w:tcPr>
          <w:p>
            <w:r>
              <w:rPr>
                <w:b/>
                <w:bCs/>
                <w:sz w:val="20"/>
                <w:szCs w:val="20"/>
              </w:rPr>
              <w:t xml:space="preserve">Исполнитель</w:t>
            </w:r>
          </w:p>
        </w:tc>
        <w:tc>
          <w:tcPr>
            <w:tcW w:type="pct" w:w="70%"/>
          </w:tcPr>
          <w:p>
            <w:r>
              <w:rPr>
                <w:sz w:val="20"/>
                <w:szCs w:val="20"/>
              </w:rPr>
              <w:t xml:space="preserve">Общество с ограниченной ответственностью «Дарквуд Софт» (ООО «Дарквуд Софт»)</w:t>
            </w:r>
          </w:p>
        </w:tc>
      </w:tr>
      <w:tr>
        <w:tc>
          <w:tcPr>
            <w:tcW w:type="pct" w:w="30%"/>
          </w:tcPr>
          <w:p>
            <w:r>
              <w:rPr>
                <w:b/>
                <w:bCs/>
                <w:sz w:val="20"/>
                <w:szCs w:val="20"/>
              </w:rPr>
              <w:t xml:space="preserve">УНП</w:t>
            </w:r>
          </w:p>
        </w:tc>
        <w:tc>
          <w:tcPr>
            <w:tcW w:type="pct" w:w="70%"/>
          </w:tcPr>
          <w:p>
            <w:r>
              <w:rPr>
                <w:sz w:val="20"/>
                <w:szCs w:val="20"/>
              </w:rPr>
              <w:t xml:space="preserve">491721530</w:t>
            </w:r>
          </w:p>
        </w:tc>
      </w:tr>
      <w:tr>
        <w:tc>
          <w:tcPr>
            <w:tcW w:type="pct" w:w="30%"/>
          </w:tcPr>
          <w:p>
            <w:r>
              <w:rPr>
                <w:b/>
                <w:bCs/>
                <w:sz w:val="20"/>
                <w:szCs w:val="20"/>
              </w:rPr>
              <w:t xml:space="preserve">Юридический и почтовый адрес</w:t>
            </w:r>
          </w:p>
        </w:tc>
        <w:tc>
          <w:tcPr>
            <w:tcW w:type="pct" w:w="70%"/>
          </w:tcPr>
          <w:p>
            <w:r>
              <w:rPr>
                <w:sz w:val="20"/>
                <w:szCs w:val="20"/>
              </w:rPr>
              <w:t xml:space="preserve">247485, Республика Беларусь, Гомельская обл., г. Речица, ул. Куйбышева, д. 16/1</w:t>
            </w:r>
          </w:p>
        </w:tc>
      </w:tr>
      <w:tr>
        <w:tc>
          <w:tcPr>
            <w:tcW w:type="pct" w:w="30%"/>
          </w:tcPr>
          <w:p>
            <w:r>
              <w:rPr>
                <w:b/>
                <w:bCs/>
                <w:sz w:val="20"/>
                <w:szCs w:val="20"/>
              </w:rPr>
              <w:t xml:space="preserve">Расчётный счёт</w:t>
            </w:r>
          </w:p>
        </w:tc>
        <w:tc>
          <w:tcPr>
            <w:tcW w:type="pct" w:w="70%"/>
          </w:tcPr>
          <w:p>
            <w:r>
              <w:rPr>
                <w:sz w:val="20"/>
                <w:szCs w:val="20"/>
              </w:rPr>
              <w:t xml:space="preserve">BY69 ALFA 3012 2H81 5200 1027 0000</w:t>
            </w:r>
          </w:p>
        </w:tc>
      </w:tr>
      <w:tr>
        <w:tc>
          <w:tcPr>
            <w:tcW w:type="pct" w:w="30%"/>
          </w:tcPr>
          <w:p>
            <w:r>
              <w:rPr>
                <w:b/>
                <w:bCs/>
                <w:sz w:val="20"/>
                <w:szCs w:val="20"/>
              </w:rPr>
              <w:t xml:space="preserve">Банк</w:t>
            </w:r>
          </w:p>
        </w:tc>
        <w:tc>
          <w:tcPr>
            <w:tcW w:type="pct" w:w="70%"/>
          </w:tcPr>
          <w:p>
            <w:r>
              <w:rPr>
                <w:sz w:val="20"/>
                <w:szCs w:val="20"/>
              </w:rPr>
              <w:t xml:space="preserve">ЗАО «Альфа-Банк», БИК ALFABY2X, юр. адрес банка: Республика Беларусь, г. Минск, ул. Сурганова, 43-47, 220013</w:t>
            </w:r>
          </w:p>
        </w:tc>
      </w:tr>
      <w:tr>
        <w:tc>
          <w:tcPr>
            <w:tcW w:type="pct" w:w="30%"/>
          </w:tcPr>
          <w:p>
            <w:r>
              <w:rPr>
                <w:b/>
                <w:bCs/>
                <w:sz w:val="20"/>
                <w:szCs w:val="20"/>
              </w:rPr>
              <w:t xml:space="preserve">Директор</w:t>
            </w:r>
          </w:p>
        </w:tc>
        <w:tc>
          <w:tcPr>
            <w:tcW w:type="pct" w:w="70%"/>
          </w:tcPr>
          <w:p>
            <w:r>
              <w:rPr>
                <w:sz w:val="20"/>
                <w:szCs w:val="20"/>
              </w:rPr>
              <w:t xml:space="preserve">Лопатин Вячеслав Игоревич, действующий на основании Устава</w:t>
            </w:r>
          </w:p>
        </w:tc>
      </w:tr>
      <w:tr>
        <w:tc>
          <w:tcPr>
            <w:tcW w:type="pct" w:w="30%"/>
          </w:tcPr>
          <w:p>
            <w:r>
              <w:rPr>
                <w:b/>
                <w:bCs/>
                <w:sz w:val="20"/>
                <w:szCs w:val="20"/>
              </w:rPr>
              <w:t xml:space="preserve">Телефон</w:t>
            </w:r>
          </w:p>
        </w:tc>
        <w:tc>
          <w:tcPr>
            <w:tcW w:type="pct" w:w="70%"/>
          </w:tcPr>
          <w:p>
            <w:r>
              <w:rPr>
                <w:sz w:val="20"/>
                <w:szCs w:val="20"/>
              </w:rPr>
              <w:t xml:space="preserve">+375 25 783-88-79</w:t>
            </w:r>
          </w:p>
        </w:tc>
      </w:tr>
      <w:tr>
        <w:tc>
          <w:tcPr>
            <w:tcW w:type="pct" w:w="30%"/>
          </w:tcPr>
          <w:p>
            <w:r>
              <w:rPr>
                <w:b/>
                <w:bCs/>
                <w:sz w:val="20"/>
                <w:szCs w:val="20"/>
              </w:rPr>
              <w:t xml:space="preserve">E-mail</w:t>
            </w:r>
          </w:p>
        </w:tc>
        <w:tc>
          <w:tcPr>
            <w:tcW w:type="pct" w:w="70%"/>
          </w:tcPr>
          <w:p>
            <w:r>
              <w:rPr>
                <w:sz w:val="20"/>
                <w:szCs w:val="20"/>
              </w:rPr>
              <w:t xml:space="preserve">info@darkwoodsoft.by</w:t>
            </w:r>
          </w:p>
        </w:tc>
      </w:tr>
      <w:tr>
        <w:tc>
          <w:tcPr>
            <w:tcW w:type="pct" w:w="30%"/>
          </w:tcPr>
          <w:p>
            <w:r>
              <w:rPr>
                <w:b/>
                <w:bCs/>
                <w:sz w:val="20"/>
                <w:szCs w:val="20"/>
              </w:rPr>
              <w:t xml:space="preserve">Сайт / Сервис</w:t>
            </w:r>
          </w:p>
        </w:tc>
        <w:tc>
          <w:tcPr>
            <w:tcW w:type="pct" w:w="70%"/>
          </w:tcPr>
          <w:p>
            <w:r>
              <w:rPr>
                <w:sz w:val="20"/>
                <w:szCs w:val="20"/>
              </w:rPr>
              <w:t xml:space="preserve">https://8ballpos.by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2026-07-20T00:37:12.091Z</dcterms:created>
  <dcterms:modified xsi:type="dcterms:W3CDTF">2026-07-20T00:37:12.103Z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